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107CCB">
        <w:rPr>
          <w:b/>
          <w:szCs w:val="28"/>
          <w:lang w:val="uk-UA"/>
        </w:rPr>
        <w:t>2</w:t>
      </w:r>
      <w:r w:rsidR="00863205">
        <w:rPr>
          <w:b/>
          <w:szCs w:val="28"/>
          <w:lang w:val="uk-UA"/>
        </w:rPr>
        <w:t xml:space="preserve">  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5A70C6">
        <w:rPr>
          <w:sz w:val="28"/>
          <w:szCs w:val="28"/>
          <w:lang w:val="uk-UA"/>
        </w:rPr>
        <w:t xml:space="preserve"> </w:t>
      </w:r>
      <w:r w:rsidR="004825BB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107CC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AB41E2">
        <w:rPr>
          <w:b/>
          <w:szCs w:val="28"/>
          <w:lang w:val="uk-UA"/>
        </w:rPr>
        <w:t>12</w:t>
      </w:r>
      <w:r w:rsidR="00435F79">
        <w:rPr>
          <w:b/>
          <w:szCs w:val="28"/>
          <w:lang w:val="uk-UA"/>
        </w:rPr>
        <w:t>.</w:t>
      </w:r>
      <w:r w:rsidR="004825BB">
        <w:rPr>
          <w:b/>
          <w:szCs w:val="28"/>
          <w:lang w:val="uk-UA"/>
        </w:rPr>
        <w:t>0</w:t>
      </w:r>
      <w:r w:rsidR="00AB41E2">
        <w:rPr>
          <w:b/>
          <w:szCs w:val="28"/>
          <w:lang w:val="uk-UA"/>
        </w:rPr>
        <w:t>2</w:t>
      </w:r>
      <w:r w:rsidR="0084430E">
        <w:rPr>
          <w:b/>
          <w:szCs w:val="28"/>
          <w:lang w:val="uk-UA"/>
        </w:rPr>
        <w:t>.</w:t>
      </w:r>
      <w:r w:rsidR="00291C6E" w:rsidRPr="002F3A89">
        <w:rPr>
          <w:b/>
          <w:szCs w:val="28"/>
          <w:lang w:val="uk-UA"/>
        </w:rPr>
        <w:t>20</w:t>
      </w:r>
      <w:r w:rsidR="004825BB">
        <w:rPr>
          <w:b/>
          <w:szCs w:val="28"/>
          <w:lang w:val="uk-UA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4825BB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 xml:space="preserve">Наказ </w:t>
      </w:r>
      <w:proofErr w:type="spellStart"/>
      <w:r w:rsidR="004825BB">
        <w:rPr>
          <w:sz w:val="28"/>
          <w:szCs w:val="28"/>
          <w:lang w:val="uk-UA"/>
        </w:rPr>
        <w:t>т.в.о</w:t>
      </w:r>
      <w:proofErr w:type="spellEnd"/>
      <w:r w:rsidR="004825BB">
        <w:rPr>
          <w:sz w:val="28"/>
          <w:szCs w:val="28"/>
          <w:lang w:val="uk-UA"/>
        </w:rPr>
        <w:t xml:space="preserve">. </w:t>
      </w:r>
      <w:r w:rsidR="002F3A89" w:rsidRPr="002F3A89">
        <w:rPr>
          <w:sz w:val="28"/>
          <w:szCs w:val="28"/>
          <w:lang w:val="uk-UA"/>
        </w:rPr>
        <w:t>начальника відділу</w:t>
      </w:r>
    </w:p>
    <w:p w:rsidR="00291C6E" w:rsidRPr="002F3A89" w:rsidRDefault="004825B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>містобудування  та архітектури</w:t>
      </w:r>
    </w:p>
    <w:p w:rsidR="002F3A89" w:rsidRPr="002F3A89" w:rsidRDefault="004825B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>– головного архітектора</w:t>
      </w:r>
    </w:p>
    <w:p w:rsidR="00291C6E" w:rsidRPr="002F3A89" w:rsidRDefault="004825B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4825B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>Ніжинської міської ради</w:t>
      </w:r>
    </w:p>
    <w:p w:rsidR="004825BB" w:rsidRPr="00AB41E2" w:rsidRDefault="004825B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41E2">
        <w:rPr>
          <w:sz w:val="28"/>
          <w:szCs w:val="28"/>
          <w:lang w:val="uk-UA"/>
        </w:rPr>
        <w:t xml:space="preserve">І.І. </w:t>
      </w:r>
      <w:proofErr w:type="spellStart"/>
      <w:r w:rsidR="00AB41E2">
        <w:rPr>
          <w:sz w:val="28"/>
          <w:szCs w:val="28"/>
          <w:lang w:val="uk-UA"/>
        </w:rPr>
        <w:t>Дяконенко</w:t>
      </w:r>
      <w:proofErr w:type="spellEnd"/>
    </w:p>
    <w:p w:rsidR="00291C6E" w:rsidRPr="002F3A89" w:rsidRDefault="004825BB" w:rsidP="004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="0084430E">
        <w:rPr>
          <w:sz w:val="28"/>
          <w:szCs w:val="28"/>
          <w:lang w:val="uk-UA"/>
        </w:rPr>
        <w:t>№</w:t>
      </w:r>
      <w:r w:rsidR="00AB41E2">
        <w:rPr>
          <w:sz w:val="28"/>
          <w:szCs w:val="28"/>
          <w:lang w:val="uk-UA"/>
        </w:rPr>
        <w:t xml:space="preserve"> </w:t>
      </w:r>
      <w:r w:rsidR="0084430E">
        <w:rPr>
          <w:sz w:val="28"/>
          <w:szCs w:val="28"/>
          <w:lang w:val="uk-UA"/>
        </w:rPr>
        <w:t>10-31/</w:t>
      </w:r>
      <w:r w:rsidR="00107CCB">
        <w:rPr>
          <w:sz w:val="28"/>
          <w:szCs w:val="28"/>
          <w:lang w:val="uk-UA"/>
        </w:rPr>
        <w:t>2 від 12</w:t>
      </w:r>
      <w:r w:rsidR="00435F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AB41E2">
        <w:rPr>
          <w:sz w:val="28"/>
          <w:szCs w:val="28"/>
          <w:lang w:val="uk-UA"/>
        </w:rPr>
        <w:t>2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</w:t>
      </w:r>
      <w:r w:rsidR="00F93F00">
        <w:rPr>
          <w:sz w:val="28"/>
          <w:szCs w:val="28"/>
          <w:lang w:val="uk-UA"/>
        </w:rPr>
        <w:t>р.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4825BB" w:rsidRDefault="004825BB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4825BB" w:rsidRDefault="00435F79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4825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нежитлових приміщень № 1 під магазин продовольчих та непродовольчих товарів </w:t>
      </w:r>
      <w:r w:rsidR="00AB41E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 будівництвом торгівельних приміщень </w:t>
      </w:r>
      <w:r w:rsidR="004825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r w:rsidR="00AB41E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</w:t>
      </w:r>
      <w:r w:rsidR="004825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 Шевченка, буд. № 2 в м. Ніжин, Чернігівської області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6D69BD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="006D69BD" w:rsidRPr="006D69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</w:t>
      </w:r>
      <w:r w:rsidRPr="006D69B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Загальні дані:</w:t>
      </w:r>
    </w:p>
    <w:p w:rsidR="00D00EB3" w:rsidRDefault="00291C6E" w:rsidP="006E37A6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35F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AB41E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4825B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Шевченка, 2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07BA6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 </w:t>
      </w:r>
      <w:r w:rsidR="004825B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</w:t>
      </w:r>
      <w:proofErr w:type="spellStart"/>
      <w:r w:rsidR="004825B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АТБ-Маркет</w:t>
      </w:r>
      <w:proofErr w:type="spellEnd"/>
      <w:r w:rsidR="004825B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6D69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02BF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49000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Україна, </w:t>
      </w:r>
      <w:r w:rsidR="00F02BF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Дніпропетровська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асть,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F02BF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Дніпро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F02BF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проспект Олександра Поля, 40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код ЄДРПОУ</w:t>
      </w:r>
      <w:r w:rsidR="00F02BF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30487219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</w:p>
    <w:p w:rsidR="00FE7E8B" w:rsidRDefault="00F02BF6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Генеральний директор</w:t>
      </w:r>
      <w:r w:rsidR="009C3C83" w:rsidRPr="009C3C8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Євтєєв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Дмитро Олегович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(050) 363 17 64 </w:t>
      </w:r>
    </w:p>
    <w:p w:rsidR="00291C6E" w:rsidRPr="00FE7E8B" w:rsidRDefault="004825BB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            </w:t>
      </w:r>
      <w:r w:rsidR="00242A20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Ніжина Чернігівської області, 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зона адміністративно-громадських центрів та об’єктів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-29/2017                        від 04 жовтня 2017 року –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центральна громадсько-ділова зона, що знаходиться на території пам’яток археології та в зоні регулювання забудови Г-1/</w:t>
      </w:r>
      <w:r w:rsidR="0089732C" w:rsidRPr="0089732C">
        <w:rPr>
          <w:rFonts w:ascii="Times New Roman" w:hAnsi="Times New Roman" w:cs="Times New Roman"/>
          <w:color w:val="auto"/>
          <w:sz w:val="18"/>
          <w:szCs w:val="18"/>
          <w:u w:val="single"/>
          <w:lang w:val="uk-UA"/>
        </w:rPr>
        <w:t>А-Р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89732C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0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3725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</w:t>
      </w:r>
      <w:r w:rsidR="0089732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будівництва та обслуговування будівель торгівлі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89732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_________________________________________________________</w:t>
      </w:r>
    </w:p>
    <w:p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773543" w:rsidRPr="006E37A6" w:rsidRDefault="00291C6E" w:rsidP="006E37A6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51C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до </w:t>
      </w:r>
      <w:r w:rsidR="007D1986" w:rsidRPr="0041705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5 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451CF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451CFC">
        <w:rPr>
          <w:sz w:val="28"/>
          <w:szCs w:val="28"/>
          <w:u w:val="single"/>
          <w:lang w:val="uk-UA"/>
        </w:rPr>
        <w:t xml:space="preserve">до </w:t>
      </w:r>
      <w:r w:rsidR="00313905">
        <w:rPr>
          <w:sz w:val="28"/>
          <w:szCs w:val="28"/>
          <w:u w:val="single"/>
          <w:lang w:val="uk-UA"/>
        </w:rPr>
        <w:t xml:space="preserve"> 45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451CFC">
        <w:rPr>
          <w:sz w:val="28"/>
          <w:szCs w:val="28"/>
          <w:u w:val="single"/>
          <w:lang w:val="uk-UA"/>
        </w:rPr>
        <w:t>___________________________________________________________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451CFC">
        <w:rPr>
          <w:sz w:val="28"/>
          <w:szCs w:val="28"/>
          <w:u w:val="single"/>
          <w:lang w:val="uk-UA"/>
        </w:rPr>
        <w:t>Вимоги відсутні___________________________________________________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EE11F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2499" w:rsidRPr="00F72499">
        <w:rPr>
          <w:sz w:val="28"/>
          <w:szCs w:val="28"/>
          <w:lang w:val="uk-UA"/>
        </w:rPr>
        <w:t>4.</w:t>
      </w:r>
      <w:r w:rsidR="00DE39D5">
        <w:rPr>
          <w:sz w:val="28"/>
          <w:szCs w:val="28"/>
          <w:u w:val="single"/>
          <w:lang w:val="uk-UA"/>
        </w:rPr>
        <w:t xml:space="preserve"> </w:t>
      </w:r>
      <w:r w:rsidR="007B2E84">
        <w:rPr>
          <w:sz w:val="28"/>
          <w:szCs w:val="28"/>
          <w:u w:val="single"/>
          <w:lang w:val="uk-UA"/>
        </w:rPr>
        <w:t xml:space="preserve">Мінімально допустимі відстані до червоних ліній по </w:t>
      </w:r>
      <w:r w:rsidR="00200817">
        <w:rPr>
          <w:sz w:val="28"/>
          <w:szCs w:val="28"/>
          <w:u w:val="single"/>
          <w:lang w:val="uk-UA"/>
        </w:rPr>
        <w:t>вул.</w:t>
      </w:r>
      <w:r w:rsidR="00451CFC">
        <w:rPr>
          <w:sz w:val="28"/>
          <w:szCs w:val="28"/>
          <w:u w:val="single"/>
          <w:lang w:val="uk-UA"/>
        </w:rPr>
        <w:t xml:space="preserve"> Шевченка</w:t>
      </w:r>
      <w:r w:rsidR="007B2E84">
        <w:rPr>
          <w:sz w:val="28"/>
          <w:szCs w:val="28"/>
          <w:u w:val="single"/>
          <w:lang w:val="uk-UA"/>
        </w:rPr>
        <w:t xml:space="preserve"> – не менше 6,0 </w:t>
      </w:r>
      <w:r w:rsidR="00066DC4">
        <w:rPr>
          <w:sz w:val="28"/>
          <w:szCs w:val="28"/>
          <w:u w:val="single"/>
          <w:lang w:val="uk-UA"/>
        </w:rPr>
        <w:t>м</w:t>
      </w:r>
      <w:r w:rsidR="00103337">
        <w:rPr>
          <w:sz w:val="28"/>
          <w:szCs w:val="28"/>
          <w:u w:val="single"/>
          <w:lang w:val="uk-UA"/>
        </w:rPr>
        <w:t>.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F3388C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6E37A6">
        <w:rPr>
          <w:sz w:val="28"/>
          <w:szCs w:val="28"/>
          <w:u w:val="single"/>
          <w:lang w:val="uk-UA"/>
        </w:rPr>
        <w:t xml:space="preserve">15.2 </w:t>
      </w:r>
      <w:r w:rsidR="00AB41E2">
        <w:rPr>
          <w:sz w:val="28"/>
          <w:szCs w:val="28"/>
          <w:u w:val="single"/>
          <w:lang w:val="uk-UA"/>
        </w:rPr>
        <w:t>«Вимоги до протипожежних відстаней»</w:t>
      </w:r>
      <w:r w:rsidR="00313905">
        <w:rPr>
          <w:sz w:val="28"/>
          <w:szCs w:val="28"/>
          <w:u w:val="single"/>
          <w:lang w:val="uk-UA"/>
        </w:rPr>
        <w:t xml:space="preserve"> </w:t>
      </w:r>
      <w:r w:rsidR="006E37A6">
        <w:rPr>
          <w:sz w:val="28"/>
          <w:szCs w:val="28"/>
          <w:u w:val="single"/>
          <w:lang w:val="uk-UA"/>
        </w:rPr>
        <w:t>ДБН Б.2.2-12:201</w:t>
      </w:r>
      <w:r w:rsidR="007D1986" w:rsidRPr="007D1986">
        <w:rPr>
          <w:sz w:val="28"/>
          <w:szCs w:val="28"/>
          <w:u w:val="single"/>
          <w:lang w:val="uk-UA"/>
        </w:rPr>
        <w:t>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FE7219">
        <w:rPr>
          <w:sz w:val="28"/>
          <w:szCs w:val="28"/>
          <w:u w:val="single"/>
          <w:lang w:val="uk-UA"/>
        </w:rPr>
        <w:t>12</w:t>
      </w:r>
      <w:r w:rsidR="007B2E84">
        <w:rPr>
          <w:sz w:val="28"/>
          <w:szCs w:val="28"/>
          <w:u w:val="single"/>
          <w:lang w:val="uk-UA"/>
        </w:rPr>
        <w:t>,0</w:t>
      </w:r>
      <w:r w:rsidR="00BF3F9E">
        <w:rPr>
          <w:sz w:val="28"/>
          <w:szCs w:val="28"/>
          <w:u w:val="single"/>
          <w:lang w:val="uk-UA"/>
        </w:rPr>
        <w:t>-18</w:t>
      </w:r>
      <w:r w:rsidR="007B2E84">
        <w:rPr>
          <w:sz w:val="28"/>
          <w:szCs w:val="28"/>
          <w:u w:val="single"/>
          <w:lang w:val="uk-UA"/>
        </w:rPr>
        <w:t xml:space="preserve">,0 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CB2DD6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</w:t>
      </w:r>
      <w:r w:rsidR="00807BA6">
        <w:rPr>
          <w:sz w:val="28"/>
          <w:szCs w:val="28"/>
          <w:u w:val="single"/>
          <w:lang w:val="uk-UA"/>
        </w:rPr>
        <w:t xml:space="preserve">будівництва </w:t>
      </w:r>
      <w:r w:rsidR="005E2751">
        <w:rPr>
          <w:sz w:val="28"/>
          <w:szCs w:val="28"/>
          <w:u w:val="single"/>
          <w:lang w:val="uk-UA"/>
        </w:rPr>
        <w:t>знахо</w:t>
      </w:r>
      <w:r w:rsidR="005B444D">
        <w:rPr>
          <w:sz w:val="28"/>
          <w:szCs w:val="28"/>
          <w:u w:val="single"/>
          <w:lang w:val="uk-UA"/>
        </w:rPr>
        <w:t xml:space="preserve">диться </w:t>
      </w:r>
      <w:r w:rsidR="00066DC4">
        <w:rPr>
          <w:sz w:val="28"/>
          <w:szCs w:val="28"/>
          <w:u w:val="single"/>
          <w:lang w:val="uk-UA"/>
        </w:rPr>
        <w:t xml:space="preserve">в зоні регулювання забудови та території </w:t>
      </w:r>
      <w:r w:rsidR="00CB2DD6">
        <w:rPr>
          <w:sz w:val="28"/>
          <w:szCs w:val="28"/>
          <w:u w:val="single"/>
          <w:lang w:val="uk-UA"/>
        </w:rPr>
        <w:t>пам’яток археології</w:t>
      </w:r>
      <w:r w:rsidR="007D62A4">
        <w:rPr>
          <w:sz w:val="28"/>
          <w:szCs w:val="28"/>
          <w:u w:val="single"/>
          <w:lang w:val="uk-UA"/>
        </w:rPr>
        <w:t xml:space="preserve">. Проектну документацію необхідно погодити з відповідними органами культурної спадщини та археології. Виконати вимоги ДБН Б.2.2-12:2019, п.13.1, п.13.2 </w:t>
      </w:r>
      <w:r w:rsidR="00CB2DD6">
        <w:rPr>
          <w:sz w:val="28"/>
          <w:szCs w:val="28"/>
          <w:lang w:val="uk-UA"/>
        </w:rPr>
        <w:t>_______________________</w:t>
      </w:r>
      <w:r w:rsidR="007D62A4">
        <w:rPr>
          <w:sz w:val="28"/>
          <w:szCs w:val="28"/>
          <w:lang w:val="uk-UA"/>
        </w:rPr>
        <w:t>______________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D32DFF" w:rsidRDefault="00291C6E" w:rsidP="00D32DFF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41705A">
        <w:rPr>
          <w:sz w:val="28"/>
          <w:szCs w:val="28"/>
          <w:u w:val="single"/>
          <w:lang w:val="uk-UA"/>
        </w:rPr>
        <w:t xml:space="preserve"> 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2F46E6">
        <w:rPr>
          <w:sz w:val="28"/>
          <w:szCs w:val="28"/>
          <w:u w:val="single"/>
          <w:lang w:val="uk-UA"/>
        </w:rPr>
        <w:t>-</w:t>
      </w:r>
      <w:r w:rsidR="005A70C6">
        <w:rPr>
          <w:sz w:val="28"/>
          <w:szCs w:val="28"/>
          <w:u w:val="single"/>
          <w:lang w:val="uk-UA"/>
        </w:rPr>
        <w:t>12:2019</w:t>
      </w:r>
      <w:r w:rsidR="007940DA">
        <w:rPr>
          <w:sz w:val="28"/>
          <w:szCs w:val="28"/>
          <w:u w:val="single"/>
          <w:lang w:val="uk-UA"/>
        </w:rPr>
        <w:t>,</w:t>
      </w:r>
      <w:r w:rsidR="009C3C83" w:rsidRPr="00103337">
        <w:rPr>
          <w:sz w:val="28"/>
          <w:szCs w:val="28"/>
          <w:u w:val="single"/>
          <w:lang w:val="uk-UA"/>
        </w:rPr>
        <w:t xml:space="preserve"> </w:t>
      </w:r>
      <w:r w:rsidR="007940DA">
        <w:rPr>
          <w:sz w:val="28"/>
          <w:szCs w:val="28"/>
          <w:u w:val="single"/>
          <w:lang w:val="uk-UA"/>
        </w:rPr>
        <w:t>розділ</w:t>
      </w:r>
      <w:r w:rsidR="00D32DFF">
        <w:rPr>
          <w:sz w:val="28"/>
          <w:szCs w:val="28"/>
          <w:u w:val="single"/>
          <w:lang w:val="uk-UA"/>
        </w:rPr>
        <w:t xml:space="preserve"> </w:t>
      </w:r>
      <w:r w:rsidR="007940DA">
        <w:rPr>
          <w:sz w:val="28"/>
          <w:szCs w:val="28"/>
          <w:u w:val="single"/>
          <w:lang w:val="uk-UA"/>
        </w:rPr>
        <w:t>11</w:t>
      </w:r>
      <w:r w:rsidR="005B444D">
        <w:rPr>
          <w:sz w:val="28"/>
          <w:szCs w:val="28"/>
          <w:u w:val="single"/>
          <w:lang w:val="uk-UA"/>
        </w:rPr>
        <w:t>.</w:t>
      </w:r>
      <w:r w:rsidR="003E22CE">
        <w:rPr>
          <w:sz w:val="28"/>
          <w:szCs w:val="28"/>
          <w:u w:val="single"/>
          <w:lang w:val="uk-UA"/>
        </w:rPr>
        <w:t xml:space="preserve"> Водопровідна </w:t>
      </w:r>
      <w:r w:rsidR="00CD7ECF">
        <w:rPr>
          <w:sz w:val="28"/>
          <w:szCs w:val="28"/>
          <w:u w:val="single"/>
          <w:lang w:val="uk-UA"/>
        </w:rPr>
        <w:t xml:space="preserve">мережа </w:t>
      </w:r>
      <w:r w:rsidR="001E12AE">
        <w:rPr>
          <w:sz w:val="28"/>
          <w:szCs w:val="28"/>
          <w:u w:val="single"/>
          <w:lang w:val="uk-UA"/>
        </w:rPr>
        <w:t xml:space="preserve">існуюча </w:t>
      </w:r>
      <w:r w:rsidR="00CD7ECF">
        <w:rPr>
          <w:sz w:val="28"/>
          <w:szCs w:val="28"/>
          <w:u w:val="single"/>
          <w:lang w:val="uk-UA"/>
        </w:rPr>
        <w:t xml:space="preserve">– по вул. Гребінки </w:t>
      </w:r>
      <w:r w:rsidR="001E12AE">
        <w:rPr>
          <w:sz w:val="28"/>
          <w:szCs w:val="28"/>
          <w:u w:val="single"/>
          <w:lang w:val="uk-UA"/>
        </w:rPr>
        <w:t>відстань 6,0 м,</w:t>
      </w:r>
      <w:r w:rsidR="0041705A" w:rsidRPr="0041705A">
        <w:rPr>
          <w:sz w:val="28"/>
          <w:szCs w:val="28"/>
          <w:u w:val="single"/>
          <w:lang w:val="uk-UA"/>
        </w:rPr>
        <w:t xml:space="preserve"> </w:t>
      </w:r>
      <w:r w:rsidR="0041705A">
        <w:rPr>
          <w:sz w:val="28"/>
          <w:szCs w:val="28"/>
          <w:u w:val="single"/>
          <w:lang w:val="uk-UA"/>
        </w:rPr>
        <w:t>відстань до існуючої мережі газопостачання по вул. Гребінки - 7,0 м, а також мережа проходить через ділянку власника,</w:t>
      </w:r>
      <w:r w:rsidR="001E12AE">
        <w:rPr>
          <w:sz w:val="28"/>
          <w:szCs w:val="28"/>
          <w:u w:val="single"/>
          <w:lang w:val="uk-UA"/>
        </w:rPr>
        <w:t xml:space="preserve"> каналізаційна мережа проходить через ділянку прибудови, необхідно передбачити конструктивні рішення, щодо перенесення даної мережі, електричний кабель 0,4 кВт підлягає реконструкції, </w:t>
      </w:r>
      <w:r w:rsidR="00D32DFF">
        <w:rPr>
          <w:sz w:val="28"/>
          <w:szCs w:val="28"/>
          <w:u w:val="single"/>
          <w:lang w:val="uk-UA"/>
        </w:rPr>
        <w:t>електропостачання  від існуючих мереж ТОВ «Пасаж». Можливість підключення об’єкту, що проектується , до існуючих інженерних мереж згідно технічних умов, які необхідно отримати у відповідних організаціях.</w:t>
      </w:r>
    </w:p>
    <w:p w:rsidR="00303095" w:rsidRPr="00D32DFF" w:rsidRDefault="00103337" w:rsidP="00D32DFF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В разі розміщення об</w:t>
      </w:r>
      <w:r w:rsidR="00BE309C" w:rsidRPr="00D32DFF">
        <w:rPr>
          <w:sz w:val="28"/>
          <w:szCs w:val="28"/>
          <w:u w:val="single"/>
          <w:lang w:val="uk-UA"/>
        </w:rPr>
        <w:t>’</w:t>
      </w:r>
      <w:r>
        <w:rPr>
          <w:sz w:val="28"/>
          <w:szCs w:val="28"/>
          <w:u w:val="single"/>
          <w:lang w:val="uk-UA"/>
        </w:rPr>
        <w:t>єкта будівництва на інженерних мережах</w:t>
      </w:r>
      <w:r w:rsidR="00BE309C"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u w:val="single"/>
          <w:lang w:val="uk-UA"/>
        </w:rPr>
        <w:t xml:space="preserve"> передбачити перенесення за межі зони будівництва.</w:t>
      </w:r>
    </w:p>
    <w:p w:rsidR="00291C6E" w:rsidRPr="003C1DDE" w:rsidRDefault="005A70C6" w:rsidP="00D32DFF">
      <w:pPr>
        <w:widowControl w:val="0"/>
        <w:spacing w:line="270" w:lineRule="exac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</w:t>
      </w:r>
      <w:r w:rsidR="00EE11F4">
        <w:rPr>
          <w:sz w:val="28"/>
          <w:szCs w:val="28"/>
          <w:u w:val="single"/>
          <w:lang w:val="uk-UA"/>
        </w:rPr>
        <w:t xml:space="preserve"> цивільного захисту, згідно п.1 пп. 2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</w:t>
      </w:r>
      <w:r w:rsidR="00D32DF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066DC4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291C6E" w:rsidRPr="00EB278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91C6E" w:rsidRPr="00EB278B">
        <w:rPr>
          <w:sz w:val="28"/>
          <w:szCs w:val="28"/>
          <w:lang w:val="uk-UA"/>
        </w:rPr>
        <w:t xml:space="preserve"> відділу містобудування </w:t>
      </w:r>
    </w:p>
    <w:p w:rsidR="00291C6E" w:rsidRPr="00EB278B" w:rsidRDefault="00066DC4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 – головного</w:t>
      </w:r>
      <w:r w:rsidR="00291C6E" w:rsidRPr="00EB278B">
        <w:rPr>
          <w:sz w:val="28"/>
          <w:szCs w:val="28"/>
          <w:lang w:val="uk-UA"/>
        </w:rPr>
        <w:t xml:space="preserve">  архітектор</w:t>
      </w:r>
      <w:r>
        <w:rPr>
          <w:sz w:val="28"/>
          <w:szCs w:val="28"/>
          <w:lang w:val="uk-UA"/>
        </w:rPr>
        <w:t>а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="007D62A4">
        <w:rPr>
          <w:sz w:val="28"/>
          <w:szCs w:val="28"/>
          <w:u w:val="single"/>
          <w:lang w:val="uk-UA"/>
        </w:rPr>
        <w:t xml:space="preserve">І.І. </w:t>
      </w:r>
      <w:proofErr w:type="spellStart"/>
      <w:r w:rsidR="007D62A4">
        <w:rPr>
          <w:sz w:val="28"/>
          <w:szCs w:val="28"/>
          <w:u w:val="single"/>
          <w:lang w:val="uk-UA"/>
        </w:rPr>
        <w:t>Дяконенко</w:t>
      </w:r>
      <w:proofErr w:type="spellEnd"/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41" w:rsidRDefault="006D6041" w:rsidP="008C33AD">
      <w:r>
        <w:separator/>
      </w:r>
    </w:p>
  </w:endnote>
  <w:endnote w:type="continuationSeparator" w:id="0">
    <w:p w:rsidR="006D6041" w:rsidRDefault="006D6041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41" w:rsidRDefault="006D6041" w:rsidP="008C33AD">
      <w:r>
        <w:separator/>
      </w:r>
    </w:p>
  </w:footnote>
  <w:footnote w:type="continuationSeparator" w:id="0">
    <w:p w:rsidR="006D6041" w:rsidRDefault="006D6041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17152424"/>
    <w:multiLevelType w:val="hybridMultilevel"/>
    <w:tmpl w:val="314C8A20"/>
    <w:lvl w:ilvl="0" w:tplc="A29A5B34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46A71"/>
    <w:rsid w:val="00054AD1"/>
    <w:rsid w:val="00056DAB"/>
    <w:rsid w:val="00061068"/>
    <w:rsid w:val="00066DC4"/>
    <w:rsid w:val="000712C3"/>
    <w:rsid w:val="00071AE3"/>
    <w:rsid w:val="000722A8"/>
    <w:rsid w:val="00082A8D"/>
    <w:rsid w:val="000856C3"/>
    <w:rsid w:val="000918B0"/>
    <w:rsid w:val="000A3554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03337"/>
    <w:rsid w:val="00107CCB"/>
    <w:rsid w:val="001131B8"/>
    <w:rsid w:val="001134D6"/>
    <w:rsid w:val="00123DA8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2B50"/>
    <w:rsid w:val="00174968"/>
    <w:rsid w:val="00177E19"/>
    <w:rsid w:val="001800C5"/>
    <w:rsid w:val="001834FA"/>
    <w:rsid w:val="001876E1"/>
    <w:rsid w:val="001A2495"/>
    <w:rsid w:val="001B2B85"/>
    <w:rsid w:val="001B5623"/>
    <w:rsid w:val="001C7EDB"/>
    <w:rsid w:val="001D3EB4"/>
    <w:rsid w:val="001D75A8"/>
    <w:rsid w:val="001D7708"/>
    <w:rsid w:val="001E12AE"/>
    <w:rsid w:val="001E1988"/>
    <w:rsid w:val="001E3527"/>
    <w:rsid w:val="001E4CF7"/>
    <w:rsid w:val="001E6F38"/>
    <w:rsid w:val="001F4369"/>
    <w:rsid w:val="001F484D"/>
    <w:rsid w:val="001F52C8"/>
    <w:rsid w:val="00200817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1BED"/>
    <w:rsid w:val="00242A20"/>
    <w:rsid w:val="002463A4"/>
    <w:rsid w:val="002475EC"/>
    <w:rsid w:val="0025165C"/>
    <w:rsid w:val="002612E4"/>
    <w:rsid w:val="00262D2E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3DFE"/>
    <w:rsid w:val="002F451A"/>
    <w:rsid w:val="002F46E6"/>
    <w:rsid w:val="00303095"/>
    <w:rsid w:val="00304B9A"/>
    <w:rsid w:val="00306DFA"/>
    <w:rsid w:val="00313905"/>
    <w:rsid w:val="003141B5"/>
    <w:rsid w:val="00317696"/>
    <w:rsid w:val="00320C55"/>
    <w:rsid w:val="003222EC"/>
    <w:rsid w:val="003324A2"/>
    <w:rsid w:val="0033549F"/>
    <w:rsid w:val="003355ED"/>
    <w:rsid w:val="00343C99"/>
    <w:rsid w:val="00351D8C"/>
    <w:rsid w:val="00355F1A"/>
    <w:rsid w:val="003626B3"/>
    <w:rsid w:val="00367F8E"/>
    <w:rsid w:val="00377D65"/>
    <w:rsid w:val="003801E4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D612E"/>
    <w:rsid w:val="003D79C3"/>
    <w:rsid w:val="003E22CE"/>
    <w:rsid w:val="003E2EDB"/>
    <w:rsid w:val="003F093A"/>
    <w:rsid w:val="003F6784"/>
    <w:rsid w:val="00401C9E"/>
    <w:rsid w:val="0040224C"/>
    <w:rsid w:val="00404C33"/>
    <w:rsid w:val="00412B62"/>
    <w:rsid w:val="004151FC"/>
    <w:rsid w:val="0041705A"/>
    <w:rsid w:val="00417545"/>
    <w:rsid w:val="00420CA4"/>
    <w:rsid w:val="00433271"/>
    <w:rsid w:val="00433B8C"/>
    <w:rsid w:val="00435F79"/>
    <w:rsid w:val="00442AA5"/>
    <w:rsid w:val="00450F00"/>
    <w:rsid w:val="00451159"/>
    <w:rsid w:val="00451CFC"/>
    <w:rsid w:val="00456E62"/>
    <w:rsid w:val="0046353C"/>
    <w:rsid w:val="00463C13"/>
    <w:rsid w:val="004735AB"/>
    <w:rsid w:val="00481BCB"/>
    <w:rsid w:val="004825BB"/>
    <w:rsid w:val="00482D76"/>
    <w:rsid w:val="00483D21"/>
    <w:rsid w:val="00485BC8"/>
    <w:rsid w:val="004A3C15"/>
    <w:rsid w:val="004A6B14"/>
    <w:rsid w:val="004B3BF5"/>
    <w:rsid w:val="004C0397"/>
    <w:rsid w:val="004E28BB"/>
    <w:rsid w:val="004E3BDA"/>
    <w:rsid w:val="004E77E7"/>
    <w:rsid w:val="00504CF9"/>
    <w:rsid w:val="00505E7D"/>
    <w:rsid w:val="005078A0"/>
    <w:rsid w:val="00510304"/>
    <w:rsid w:val="00511052"/>
    <w:rsid w:val="00511088"/>
    <w:rsid w:val="005152AE"/>
    <w:rsid w:val="00515C44"/>
    <w:rsid w:val="00522065"/>
    <w:rsid w:val="005246A9"/>
    <w:rsid w:val="00524C1C"/>
    <w:rsid w:val="00527A6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A70C6"/>
    <w:rsid w:val="005B0961"/>
    <w:rsid w:val="005B1AA4"/>
    <w:rsid w:val="005B2B77"/>
    <w:rsid w:val="005B444D"/>
    <w:rsid w:val="005C6BCF"/>
    <w:rsid w:val="005C7071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02C5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D6041"/>
    <w:rsid w:val="006D69BD"/>
    <w:rsid w:val="006E0598"/>
    <w:rsid w:val="006E3280"/>
    <w:rsid w:val="006E37A6"/>
    <w:rsid w:val="006E42F7"/>
    <w:rsid w:val="006F47BA"/>
    <w:rsid w:val="007031B7"/>
    <w:rsid w:val="00712EC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2E84"/>
    <w:rsid w:val="007B5D44"/>
    <w:rsid w:val="007B73E0"/>
    <w:rsid w:val="007C7A30"/>
    <w:rsid w:val="007D0E5E"/>
    <w:rsid w:val="007D1986"/>
    <w:rsid w:val="007D62A4"/>
    <w:rsid w:val="007E7D3B"/>
    <w:rsid w:val="007F59EC"/>
    <w:rsid w:val="00805C9F"/>
    <w:rsid w:val="00807BA6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205"/>
    <w:rsid w:val="00872AF8"/>
    <w:rsid w:val="0088264F"/>
    <w:rsid w:val="0089732C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527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51750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3C83"/>
    <w:rsid w:val="009C3FCE"/>
    <w:rsid w:val="009D31A0"/>
    <w:rsid w:val="00A03126"/>
    <w:rsid w:val="00A20DFA"/>
    <w:rsid w:val="00A24C8F"/>
    <w:rsid w:val="00A252A5"/>
    <w:rsid w:val="00A271E6"/>
    <w:rsid w:val="00A2737D"/>
    <w:rsid w:val="00A30E5F"/>
    <w:rsid w:val="00A33004"/>
    <w:rsid w:val="00A5042E"/>
    <w:rsid w:val="00A50888"/>
    <w:rsid w:val="00A5117C"/>
    <w:rsid w:val="00A56051"/>
    <w:rsid w:val="00A57E21"/>
    <w:rsid w:val="00A66A13"/>
    <w:rsid w:val="00A76B2B"/>
    <w:rsid w:val="00A817B6"/>
    <w:rsid w:val="00A86D35"/>
    <w:rsid w:val="00A95680"/>
    <w:rsid w:val="00AB2D4A"/>
    <w:rsid w:val="00AB41E2"/>
    <w:rsid w:val="00AB7832"/>
    <w:rsid w:val="00AC7250"/>
    <w:rsid w:val="00AE0D38"/>
    <w:rsid w:val="00AE4BF0"/>
    <w:rsid w:val="00AE56D2"/>
    <w:rsid w:val="00AE7B69"/>
    <w:rsid w:val="00AF0197"/>
    <w:rsid w:val="00B02683"/>
    <w:rsid w:val="00B02842"/>
    <w:rsid w:val="00B028FB"/>
    <w:rsid w:val="00B02972"/>
    <w:rsid w:val="00B04A9D"/>
    <w:rsid w:val="00B10B3E"/>
    <w:rsid w:val="00B11FA1"/>
    <w:rsid w:val="00B204F5"/>
    <w:rsid w:val="00B24149"/>
    <w:rsid w:val="00B32B4F"/>
    <w:rsid w:val="00B3466F"/>
    <w:rsid w:val="00B56F91"/>
    <w:rsid w:val="00B636DF"/>
    <w:rsid w:val="00B64B04"/>
    <w:rsid w:val="00B65489"/>
    <w:rsid w:val="00B660C4"/>
    <w:rsid w:val="00B72847"/>
    <w:rsid w:val="00B757B6"/>
    <w:rsid w:val="00B76E67"/>
    <w:rsid w:val="00B937A4"/>
    <w:rsid w:val="00B939F5"/>
    <w:rsid w:val="00B96B0F"/>
    <w:rsid w:val="00BA04E9"/>
    <w:rsid w:val="00BA1F23"/>
    <w:rsid w:val="00BA5157"/>
    <w:rsid w:val="00BC009B"/>
    <w:rsid w:val="00BC5543"/>
    <w:rsid w:val="00BC5F82"/>
    <w:rsid w:val="00BC7233"/>
    <w:rsid w:val="00BD2AFB"/>
    <w:rsid w:val="00BD3FD3"/>
    <w:rsid w:val="00BE309C"/>
    <w:rsid w:val="00BF3F9E"/>
    <w:rsid w:val="00C01869"/>
    <w:rsid w:val="00C110B6"/>
    <w:rsid w:val="00C21092"/>
    <w:rsid w:val="00C212A8"/>
    <w:rsid w:val="00C223F5"/>
    <w:rsid w:val="00C34CAB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B2DD6"/>
    <w:rsid w:val="00CC072A"/>
    <w:rsid w:val="00CD1F28"/>
    <w:rsid w:val="00CD223D"/>
    <w:rsid w:val="00CD3909"/>
    <w:rsid w:val="00CD4DA3"/>
    <w:rsid w:val="00CD71D4"/>
    <w:rsid w:val="00CD7ECF"/>
    <w:rsid w:val="00CE25E8"/>
    <w:rsid w:val="00CF129C"/>
    <w:rsid w:val="00CF146C"/>
    <w:rsid w:val="00CF49FD"/>
    <w:rsid w:val="00D00EB3"/>
    <w:rsid w:val="00D022F1"/>
    <w:rsid w:val="00D157E5"/>
    <w:rsid w:val="00D30519"/>
    <w:rsid w:val="00D32DFF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86F9D"/>
    <w:rsid w:val="00D917E1"/>
    <w:rsid w:val="00D95511"/>
    <w:rsid w:val="00D9788D"/>
    <w:rsid w:val="00D97D3B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D5674"/>
    <w:rsid w:val="00DE39D5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97F7E"/>
    <w:rsid w:val="00EA03C5"/>
    <w:rsid w:val="00EA0C0D"/>
    <w:rsid w:val="00EA1C37"/>
    <w:rsid w:val="00EA3693"/>
    <w:rsid w:val="00EA6881"/>
    <w:rsid w:val="00EB0B92"/>
    <w:rsid w:val="00EB278B"/>
    <w:rsid w:val="00EB5CAF"/>
    <w:rsid w:val="00EC4C1E"/>
    <w:rsid w:val="00EE11F4"/>
    <w:rsid w:val="00EF403C"/>
    <w:rsid w:val="00EF5611"/>
    <w:rsid w:val="00F00405"/>
    <w:rsid w:val="00F00E5D"/>
    <w:rsid w:val="00F02BF6"/>
    <w:rsid w:val="00F03801"/>
    <w:rsid w:val="00F0720F"/>
    <w:rsid w:val="00F07713"/>
    <w:rsid w:val="00F12CF7"/>
    <w:rsid w:val="00F1402F"/>
    <w:rsid w:val="00F14FA3"/>
    <w:rsid w:val="00F217B4"/>
    <w:rsid w:val="00F23397"/>
    <w:rsid w:val="00F3388C"/>
    <w:rsid w:val="00F33ED3"/>
    <w:rsid w:val="00F43449"/>
    <w:rsid w:val="00F559D3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219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2020-02-12T07:54:00Z</cp:lastPrinted>
  <dcterms:created xsi:type="dcterms:W3CDTF">2020-01-23T10:45:00Z</dcterms:created>
  <dcterms:modified xsi:type="dcterms:W3CDTF">2020-02-12T07:55:00Z</dcterms:modified>
</cp:coreProperties>
</file>